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2376"/>
        <w:gridCol w:w="8266"/>
        <w:gridCol w:w="1467"/>
        <w:gridCol w:w="1130"/>
        <w:gridCol w:w="1547"/>
      </w:tblGrid>
      <w:tr w:rsidR="00CB6342" w:rsidRPr="00CB6342" w:rsidTr="00CB6342">
        <w:tc>
          <w:tcPr>
            <w:tcW w:w="776" w:type="pct"/>
            <w:vMerge w:val="restart"/>
          </w:tcPr>
          <w:p w:rsidR="00CB6342" w:rsidRPr="00CB6342" w:rsidRDefault="00CB6342" w:rsidP="00CB6342">
            <w:pPr>
              <w:rPr>
                <w:szCs w:val="24"/>
              </w:rPr>
            </w:pPr>
            <w:r w:rsidRPr="00CB6342">
              <w:rPr>
                <w:szCs w:val="24"/>
              </w:rPr>
              <w:br w:type="page"/>
              <w:t>Prioritetinis projektų atrankos kriterijaus (toliau – kriterijus) pavadinimas</w:t>
            </w:r>
          </w:p>
          <w:p w:rsidR="00CB6342" w:rsidRPr="00CB6342" w:rsidRDefault="00CB6342" w:rsidP="00CB6342">
            <w:pPr>
              <w:rPr>
                <w:szCs w:val="24"/>
              </w:rPr>
            </w:pPr>
          </w:p>
          <w:p w:rsidR="00CB6342" w:rsidRPr="00CB6342" w:rsidRDefault="00CB6342" w:rsidP="00CB6342">
            <w:pPr>
              <w:rPr>
                <w:szCs w:val="24"/>
              </w:rPr>
            </w:pPr>
          </w:p>
        </w:tc>
        <w:tc>
          <w:tcPr>
            <w:tcW w:w="2801" w:type="pct"/>
            <w:vMerge w:val="restart"/>
          </w:tcPr>
          <w:p w:rsidR="00CB6342" w:rsidRPr="00CB6342" w:rsidRDefault="00CB6342" w:rsidP="00CB6342">
            <w:pPr>
              <w:rPr>
                <w:b w:val="0"/>
                <w:szCs w:val="24"/>
              </w:rPr>
            </w:pPr>
            <w:r w:rsidRPr="00CB6342">
              <w:rPr>
                <w:b w:val="0"/>
                <w:szCs w:val="24"/>
              </w:rPr>
              <w:t>Kriterijaus vertinimo aspektai ir paaiškinimai</w:t>
            </w:r>
          </w:p>
          <w:p w:rsidR="00CB6342" w:rsidRPr="00CB6342" w:rsidRDefault="00CB6342" w:rsidP="00CB6342">
            <w:pPr>
              <w:rPr>
                <w:b w:val="0"/>
                <w:i/>
                <w:szCs w:val="24"/>
              </w:rPr>
            </w:pPr>
          </w:p>
        </w:tc>
        <w:tc>
          <w:tcPr>
            <w:tcW w:w="503" w:type="pct"/>
            <w:vMerge w:val="restart"/>
          </w:tcPr>
          <w:p w:rsidR="00CB6342" w:rsidRPr="00CB6342" w:rsidRDefault="00CB6342" w:rsidP="00CB6342">
            <w:pPr>
              <w:rPr>
                <w:b w:val="0"/>
                <w:szCs w:val="24"/>
              </w:rPr>
            </w:pPr>
            <w:r w:rsidRPr="00CB6342">
              <w:rPr>
                <w:b w:val="0"/>
                <w:szCs w:val="24"/>
              </w:rPr>
              <w:t>Didžiausias galimas kriterijaus balas</w:t>
            </w:r>
          </w:p>
        </w:tc>
        <w:tc>
          <w:tcPr>
            <w:tcW w:w="919" w:type="pct"/>
            <w:gridSpan w:val="2"/>
          </w:tcPr>
          <w:p w:rsidR="00CB6342" w:rsidRPr="00CB6342" w:rsidRDefault="00CB6342" w:rsidP="00CB6342">
            <w:pPr>
              <w:rPr>
                <w:b w:val="0"/>
                <w:szCs w:val="24"/>
              </w:rPr>
            </w:pPr>
            <w:r w:rsidRPr="00CB6342">
              <w:rPr>
                <w:b w:val="0"/>
                <w:iCs/>
                <w:szCs w:val="24"/>
              </w:rPr>
              <w:t>Kriterijaus vertinimas (jei taikomi svoriai)</w:t>
            </w:r>
          </w:p>
        </w:tc>
      </w:tr>
      <w:tr w:rsidR="00CB6342" w:rsidRPr="00CB6342" w:rsidTr="00CB6342">
        <w:trPr>
          <w:trHeight w:val="629"/>
        </w:trPr>
        <w:tc>
          <w:tcPr>
            <w:tcW w:w="776" w:type="pct"/>
            <w:vMerge/>
          </w:tcPr>
          <w:p w:rsidR="00CB6342" w:rsidRPr="00CB6342" w:rsidRDefault="00CB6342" w:rsidP="00CB6342">
            <w:pPr>
              <w:rPr>
                <w:szCs w:val="24"/>
              </w:rPr>
            </w:pPr>
          </w:p>
        </w:tc>
        <w:tc>
          <w:tcPr>
            <w:tcW w:w="2801" w:type="pct"/>
            <w:vMerge/>
          </w:tcPr>
          <w:p w:rsidR="00CB6342" w:rsidRPr="00CB6342" w:rsidRDefault="00CB6342" w:rsidP="00CB6342">
            <w:pPr>
              <w:rPr>
                <w:b w:val="0"/>
                <w:i/>
                <w:szCs w:val="24"/>
              </w:rPr>
            </w:pPr>
          </w:p>
        </w:tc>
        <w:tc>
          <w:tcPr>
            <w:tcW w:w="503" w:type="pct"/>
            <w:vMerge/>
          </w:tcPr>
          <w:p w:rsidR="00CB6342" w:rsidRPr="00CB6342" w:rsidRDefault="00CB6342" w:rsidP="00CB6342">
            <w:pPr>
              <w:rPr>
                <w:b w:val="0"/>
                <w:i/>
                <w:szCs w:val="24"/>
              </w:rPr>
            </w:pP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r w:rsidRPr="00CB6342">
              <w:rPr>
                <w:b w:val="0"/>
                <w:szCs w:val="24"/>
              </w:rPr>
              <w:t>Svorio koeficientas</w:t>
            </w:r>
          </w:p>
        </w:tc>
      </w:tr>
      <w:tr w:rsidR="00CB6342" w:rsidRPr="00CB6342" w:rsidTr="00CB6342">
        <w:trPr>
          <w:trHeight w:val="1550"/>
        </w:trPr>
        <w:tc>
          <w:tcPr>
            <w:tcW w:w="776" w:type="pct"/>
          </w:tcPr>
          <w:p w:rsidR="00CB6342" w:rsidRPr="00CB6342" w:rsidRDefault="00CB6342" w:rsidP="00CB6342">
            <w:pPr>
              <w:pStyle w:val="ListParagraph"/>
              <w:numPr>
                <w:ilvl w:val="0"/>
                <w:numId w:val="2"/>
              </w:numPr>
              <w:rPr>
                <w:i/>
                <w:szCs w:val="24"/>
              </w:rPr>
            </w:pPr>
            <w:r w:rsidRPr="00CB6342">
              <w:rPr>
                <w:szCs w:val="24"/>
              </w:rPr>
              <w:t>Pareiškėjo darbo našumo augimas.</w:t>
            </w:r>
          </w:p>
        </w:tc>
        <w:tc>
          <w:tcPr>
            <w:tcW w:w="2801" w:type="pct"/>
          </w:tcPr>
          <w:p w:rsidR="00CB6342" w:rsidRPr="00CB6342" w:rsidRDefault="00CB6342" w:rsidP="00CB6342">
            <w:pPr>
              <w:rPr>
                <w:b w:val="0"/>
                <w:szCs w:val="24"/>
              </w:rPr>
            </w:pPr>
            <w:r w:rsidRPr="00CB6342">
              <w:rPr>
                <w:b w:val="0"/>
                <w:szCs w:val="24"/>
              </w:rPr>
              <w:t xml:space="preserve">Vertinamas pareiškėjo darbo našumo augimas akumuliuotai nuo paraiškos pateikimo metų iki 3 metų po projekto įgyvendinimo pabaigos. </w:t>
            </w:r>
          </w:p>
          <w:p w:rsidR="00CB6342" w:rsidRPr="00CB6342" w:rsidRDefault="00CB6342" w:rsidP="00CB6342">
            <w:pPr>
              <w:rPr>
                <w:b w:val="0"/>
                <w:szCs w:val="24"/>
              </w:rPr>
            </w:pPr>
          </w:p>
          <w:p w:rsidR="00CB6342" w:rsidRPr="00CB6342" w:rsidRDefault="00CB6342" w:rsidP="00CB6342">
            <w:pPr>
              <w:rPr>
                <w:b w:val="0"/>
                <w:szCs w:val="24"/>
              </w:rPr>
            </w:pPr>
            <w:r w:rsidRPr="00CB6342">
              <w:rPr>
                <w:b w:val="0"/>
                <w:szCs w:val="24"/>
              </w:rPr>
              <w:t>Aukštesnis įvertinimas suteikiamas projektams, kurių pareiškėjai turės didesnį darbo našumo augimo potencialą.</w:t>
            </w:r>
          </w:p>
          <w:p w:rsidR="00CB6342" w:rsidRPr="00CB6342" w:rsidRDefault="00CB6342" w:rsidP="00CB6342">
            <w:pPr>
              <w:rPr>
                <w:b w:val="0"/>
                <w:i/>
                <w:szCs w:val="24"/>
              </w:rPr>
            </w:pPr>
          </w:p>
        </w:tc>
        <w:tc>
          <w:tcPr>
            <w:tcW w:w="503" w:type="pct"/>
          </w:tcPr>
          <w:p w:rsidR="00CB6342" w:rsidRPr="00CB6342" w:rsidRDefault="00CB6342" w:rsidP="00CB6342">
            <w:pPr>
              <w:rPr>
                <w:b w:val="0"/>
                <w:szCs w:val="24"/>
              </w:rPr>
            </w:pPr>
            <w:r w:rsidRPr="00CB6342">
              <w:rPr>
                <w:b w:val="0"/>
                <w:szCs w:val="24"/>
              </w:rPr>
              <w:t>25</w:t>
            </w: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r w:rsidRPr="00CB6342">
              <w:rPr>
                <w:b w:val="0"/>
                <w:szCs w:val="24"/>
              </w:rPr>
              <w:t>5</w:t>
            </w:r>
          </w:p>
        </w:tc>
      </w:tr>
      <w:tr w:rsidR="00CB6342" w:rsidRPr="00CB6342" w:rsidTr="00CB6342">
        <w:trPr>
          <w:trHeight w:val="1556"/>
        </w:trPr>
        <w:tc>
          <w:tcPr>
            <w:tcW w:w="776" w:type="pct"/>
          </w:tcPr>
          <w:p w:rsidR="00CB6342" w:rsidRPr="00CB6342" w:rsidRDefault="00CB6342" w:rsidP="00CB6342">
            <w:pPr>
              <w:rPr>
                <w:szCs w:val="24"/>
              </w:rPr>
            </w:pPr>
          </w:p>
        </w:tc>
        <w:tc>
          <w:tcPr>
            <w:tcW w:w="2801" w:type="pct"/>
          </w:tcPr>
          <w:p w:rsidR="00CB6342" w:rsidRPr="00CB6342" w:rsidRDefault="00CB6342" w:rsidP="00CB6342">
            <w:pPr>
              <w:rPr>
                <w:b w:val="0"/>
                <w:szCs w:val="24"/>
              </w:rPr>
            </w:pPr>
            <w:r w:rsidRPr="00CB6342">
              <w:rPr>
                <w:b w:val="0"/>
                <w:szCs w:val="24"/>
              </w:rPr>
              <w:t>Skaičiuojama pagal formulę:</w:t>
            </w:r>
          </w:p>
          <w:p w:rsidR="00CB6342" w:rsidRPr="00CB6342" w:rsidRDefault="00CB6342" w:rsidP="00CB6342">
            <w:pPr>
              <w:rPr>
                <w:b w:val="0"/>
                <w:szCs w:val="24"/>
              </w:rPr>
            </w:pPr>
            <w:r w:rsidRPr="00CB6342">
              <w:rPr>
                <w:b w:val="0"/>
                <w:szCs w:val="24"/>
              </w:rPr>
              <w:t>A = (N+1-P)+(N+2-P)+(N+3-P), kur:</w:t>
            </w:r>
          </w:p>
          <w:p w:rsidR="00CB6342" w:rsidRPr="00CB6342" w:rsidRDefault="00CB6342" w:rsidP="00CB6342">
            <w:pPr>
              <w:rPr>
                <w:b w:val="0"/>
                <w:szCs w:val="24"/>
              </w:rPr>
            </w:pPr>
            <w:r w:rsidRPr="00CB6342">
              <w:rPr>
                <w:b w:val="0"/>
                <w:szCs w:val="24"/>
              </w:rPr>
              <w:t>A – akumuliuotas augimas;</w:t>
            </w:r>
          </w:p>
          <w:p w:rsidR="00CB6342" w:rsidRPr="00CB6342" w:rsidRDefault="00CB6342" w:rsidP="00CB6342">
            <w:pPr>
              <w:rPr>
                <w:b w:val="0"/>
                <w:szCs w:val="24"/>
              </w:rPr>
            </w:pPr>
            <w:r w:rsidRPr="00CB6342">
              <w:rPr>
                <w:b w:val="0"/>
                <w:szCs w:val="24"/>
              </w:rPr>
              <w:t>P – darbo našumas finansiniais metais prieš paraiškos pateikimo momentą;</w:t>
            </w:r>
          </w:p>
          <w:p w:rsidR="00CB6342" w:rsidRPr="00CB6342" w:rsidRDefault="00CB6342" w:rsidP="00CB6342">
            <w:pPr>
              <w:rPr>
                <w:b w:val="0"/>
                <w:szCs w:val="24"/>
              </w:rPr>
            </w:pPr>
            <w:r w:rsidRPr="00CB6342">
              <w:rPr>
                <w:b w:val="0"/>
                <w:szCs w:val="24"/>
              </w:rPr>
              <w:t>N+1 – darbo našumas pirmaisiais finansiniais metais po projekto įgyvendinimo;</w:t>
            </w:r>
          </w:p>
          <w:p w:rsidR="00CB6342" w:rsidRPr="00CB6342" w:rsidRDefault="00CB6342" w:rsidP="00CB6342">
            <w:pPr>
              <w:rPr>
                <w:b w:val="0"/>
                <w:szCs w:val="24"/>
              </w:rPr>
            </w:pPr>
            <w:r w:rsidRPr="00CB6342">
              <w:rPr>
                <w:b w:val="0"/>
                <w:szCs w:val="24"/>
              </w:rPr>
              <w:t>N+2 – darbo našumas antraisiais finansiniais metais po projekto įgyvendinimo;</w:t>
            </w:r>
          </w:p>
          <w:p w:rsidR="00CB6342" w:rsidRPr="00CB6342" w:rsidRDefault="00CB6342" w:rsidP="00CB6342">
            <w:pPr>
              <w:rPr>
                <w:b w:val="0"/>
                <w:szCs w:val="24"/>
              </w:rPr>
            </w:pPr>
            <w:r w:rsidRPr="00CB6342">
              <w:rPr>
                <w:b w:val="0"/>
                <w:szCs w:val="24"/>
              </w:rPr>
              <w:t>N+3 – darbo našumas trečiaisiais finansiniais metais po projekto įgyvendinimo.</w:t>
            </w:r>
          </w:p>
          <w:p w:rsidR="00CB6342" w:rsidRPr="00CB6342" w:rsidRDefault="00CB6342" w:rsidP="00CB6342">
            <w:pPr>
              <w:rPr>
                <w:b w:val="0"/>
                <w:szCs w:val="24"/>
              </w:rPr>
            </w:pPr>
          </w:p>
          <w:p w:rsidR="00CB6342" w:rsidRPr="00CB6342" w:rsidRDefault="00CB6342" w:rsidP="00CB6342">
            <w:pPr>
              <w:rPr>
                <w:b w:val="0"/>
                <w:szCs w:val="24"/>
              </w:rPr>
            </w:pPr>
            <w:r w:rsidRPr="00CB6342">
              <w:rPr>
                <w:b w:val="0"/>
                <w:szCs w:val="24"/>
              </w:rPr>
              <w:t>Apskaičiuotas A apvalinamas pagal aritmetines taisykles iki dviejų skaičių po kablelio.</w:t>
            </w:r>
          </w:p>
          <w:p w:rsidR="00CB6342" w:rsidRPr="00CB6342" w:rsidRDefault="00CB6342" w:rsidP="00CB6342">
            <w:pPr>
              <w:rPr>
                <w:b w:val="0"/>
                <w:szCs w:val="24"/>
              </w:rPr>
            </w:pPr>
            <w:r w:rsidRPr="00CB6342">
              <w:rPr>
                <w:b w:val="0"/>
                <w:szCs w:val="24"/>
              </w:rPr>
              <w:t>5 balai suteikiami pirmiesiems 20 procentų projektų (jeigu gaunamas skaičius nėra sveikasis, apvalinama pagal aritmetines taisykles iki sveikojo skaičiaus; atitinkamai ši taisyklė taikoma ir toliau), 4 balai – kitiems 20 procentų projektų ir t. t. 1 balas suteikiamas paskutiniams 20 procentų projektų. Jeigu pirmieji projektai, pagal kuriuos numatomas darbo našumo augimas,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p>
        </w:tc>
        <w:tc>
          <w:tcPr>
            <w:tcW w:w="503" w:type="pct"/>
          </w:tcPr>
          <w:p w:rsidR="00CB6342" w:rsidRPr="00CB6342" w:rsidRDefault="00CB6342" w:rsidP="00CB6342">
            <w:pPr>
              <w:rPr>
                <w:b w:val="0"/>
                <w:szCs w:val="24"/>
              </w:rPr>
            </w:pP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p>
        </w:tc>
      </w:tr>
      <w:tr w:rsidR="00CB6342" w:rsidRPr="00CB6342" w:rsidTr="00CB6342">
        <w:tc>
          <w:tcPr>
            <w:tcW w:w="776" w:type="pct"/>
          </w:tcPr>
          <w:p w:rsidR="00CB6342" w:rsidRPr="00CB6342" w:rsidRDefault="00CB6342" w:rsidP="00CB6342">
            <w:pPr>
              <w:rPr>
                <w:szCs w:val="24"/>
              </w:rPr>
            </w:pPr>
            <w:r w:rsidRPr="00CB6342">
              <w:rPr>
                <w:szCs w:val="24"/>
              </w:rPr>
              <w:lastRenderedPageBreak/>
              <w:t>2. Projekte planuojama įsigyti įrangą, skirtą gaminti produktą, remiantis pareiškėjo turimu ar įsigytu mokslinių tyrimų ir eksperimentinės plėtros ir inovacijų (toliau – MTEPI) veiklos rezultatu (sukurta technologija ir (arba) prototipu).</w:t>
            </w:r>
          </w:p>
        </w:tc>
        <w:tc>
          <w:tcPr>
            <w:tcW w:w="2801" w:type="pct"/>
          </w:tcPr>
          <w:p w:rsidR="00CB6342" w:rsidRPr="00CB6342" w:rsidRDefault="00CB6342" w:rsidP="00CB6342">
            <w:pPr>
              <w:rPr>
                <w:b w:val="0"/>
                <w:szCs w:val="24"/>
              </w:rPr>
            </w:pPr>
            <w:r w:rsidRPr="00CB6342">
              <w:rPr>
                <w:b w:val="0"/>
                <w:szCs w:val="24"/>
              </w:rPr>
              <w:t>Prioritetas bus teikiamas tiems projektams, kuriuose yra planuojama įsigyti įrangą, skirtą gaminti produktą, remiantis pareiškėjo turimu ar įsigytu MTEPI veiklos rezultatu (sukurta technologija ir (arba) prototipu). Vertinant, ar sukurta technologija ir (arba) prototipas yra MTEPI veiklos rezultatas, remiamasi bendru Ekonominio bendradarbiavimo ir plėtros organizacijos bei Eurostato leidiniu „Oslo vadovas. Duomenų apie inovacijas rinkimo ir jų aiškinimo gairės“, 3-ias leidimas, 2005 metai.</w:t>
            </w:r>
          </w:p>
          <w:p w:rsidR="00CB6342" w:rsidRPr="00CB6342" w:rsidRDefault="00CB6342" w:rsidP="00CB6342">
            <w:pPr>
              <w:rPr>
                <w:b w:val="0"/>
                <w:szCs w:val="24"/>
              </w:rPr>
            </w:pPr>
            <w:r w:rsidRPr="00CB6342">
              <w:rPr>
                <w:b w:val="0"/>
                <w:szCs w:val="24"/>
              </w:rPr>
              <w:t>Projektams, kuriuose yra planuojama įsigyti įrangą, skirtą gaminti produktą, remiantis pareiškėjo turimu ar įsigytu MTEPI veiklos rezultatu (sukurta technologija ir (arba) prototipu), bus suteikiami 5 balai, kuriuose nėra planuojama įsigyti įrangos, skirtos gaminti produktą, remiantis pareiškėjo turimu ar įsigytu MTEPI veiklos rezultatu (sukurta technologija ir (arba) prototipu), suteikiama 0 balų.</w:t>
            </w:r>
          </w:p>
          <w:p w:rsidR="00CB6342" w:rsidRPr="00CB6342" w:rsidRDefault="00CB6342" w:rsidP="00CB6342">
            <w:pPr>
              <w:rPr>
                <w:b w:val="0"/>
                <w:i/>
                <w:szCs w:val="24"/>
              </w:rPr>
            </w:pPr>
          </w:p>
        </w:tc>
        <w:tc>
          <w:tcPr>
            <w:tcW w:w="503" w:type="pct"/>
          </w:tcPr>
          <w:p w:rsidR="00CB6342" w:rsidRPr="00CB6342" w:rsidRDefault="00CB6342" w:rsidP="00CB6342">
            <w:pPr>
              <w:rPr>
                <w:b w:val="0"/>
                <w:szCs w:val="24"/>
              </w:rPr>
            </w:pPr>
            <w:r w:rsidRPr="00CB6342">
              <w:rPr>
                <w:b w:val="0"/>
                <w:szCs w:val="24"/>
              </w:rPr>
              <w:t>20</w:t>
            </w: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r w:rsidRPr="00CB6342">
              <w:rPr>
                <w:b w:val="0"/>
                <w:szCs w:val="24"/>
              </w:rPr>
              <w:t>4</w:t>
            </w:r>
          </w:p>
        </w:tc>
      </w:tr>
      <w:tr w:rsidR="00CB6342" w:rsidRPr="00CB6342" w:rsidTr="00CB6342">
        <w:tc>
          <w:tcPr>
            <w:tcW w:w="776" w:type="pct"/>
          </w:tcPr>
          <w:p w:rsidR="00CB6342" w:rsidRPr="00CB6342" w:rsidRDefault="00CB6342" w:rsidP="00CB6342">
            <w:pPr>
              <w:rPr>
                <w:szCs w:val="24"/>
              </w:rPr>
            </w:pPr>
            <w:r w:rsidRPr="00CB6342">
              <w:rPr>
                <w:szCs w:val="24"/>
              </w:rPr>
              <w:t>3. Tiesiogiai su investicijų projektu susijusiose naujai sukurtose darbo vietose numatomas mokėti vidutinis darbo užmokestis yra didesnis negu savivaldybės, kurioje bus įgyvendinamas projektas, teritorijoje mokamų darbuotojų vidutinis darbo užmokestis.</w:t>
            </w:r>
          </w:p>
        </w:tc>
        <w:tc>
          <w:tcPr>
            <w:tcW w:w="2801" w:type="pct"/>
          </w:tcPr>
          <w:p w:rsidR="00CB6342" w:rsidRPr="00CB6342" w:rsidRDefault="00CB6342" w:rsidP="00CB6342">
            <w:pPr>
              <w:rPr>
                <w:b w:val="0"/>
                <w:szCs w:val="24"/>
              </w:rPr>
            </w:pPr>
            <w:r w:rsidRPr="00CB6342">
              <w:rPr>
                <w:b w:val="0"/>
                <w:szCs w:val="24"/>
              </w:rPr>
              <w:t>Prioritetas teikiamas tiems projektams, kuriuose numatyta, kad tiesiogiai su investicijų projektu susijusiose naujai sukurtose darbo vietose numatomas mokėti vidutinis darbo užmokestis yra didesnis (proc.) už vidutinį darbo užmokestį savivaldybės teritorijoje, kurioje bus įgyvendinamas projektas.</w:t>
            </w:r>
          </w:p>
          <w:p w:rsidR="00CB6342" w:rsidRPr="00CB6342" w:rsidRDefault="00CB6342" w:rsidP="00CB6342">
            <w:pPr>
              <w:rPr>
                <w:b w:val="0"/>
                <w:szCs w:val="24"/>
              </w:rPr>
            </w:pPr>
          </w:p>
          <w:p w:rsidR="00CB6342" w:rsidRPr="00CB6342" w:rsidRDefault="00CB6342" w:rsidP="00CB6342">
            <w:pPr>
              <w:rPr>
                <w:b w:val="0"/>
                <w:szCs w:val="24"/>
              </w:rPr>
            </w:pPr>
            <w:r w:rsidRPr="00CB6342">
              <w:rPr>
                <w:b w:val="0"/>
                <w:szCs w:val="24"/>
              </w:rPr>
              <w:t>Apskaičiuotas skirtumas (proc.) tarp vidutinio savivaldybės, kurios teritorijoje bus įgyvendinamas projektas, darbo užmokesčio ir numatomo mokėti vidutinio darbo užmokesčio tiesiogiai su investicijų projektu susijusiose naujai sukurtose darbo vietose, apvalinamas pagal aritmetines taisykles iki dviejų skaičių po kablelio.</w:t>
            </w:r>
          </w:p>
          <w:p w:rsidR="00CB6342" w:rsidRPr="00CB6342" w:rsidRDefault="00CB6342" w:rsidP="00CB6342">
            <w:pPr>
              <w:rPr>
                <w:b w:val="0"/>
                <w:szCs w:val="24"/>
              </w:rPr>
            </w:pPr>
          </w:p>
          <w:p w:rsidR="00CB6342" w:rsidRPr="00CB6342" w:rsidRDefault="00CB6342" w:rsidP="00CB6342">
            <w:pPr>
              <w:rPr>
                <w:b w:val="0"/>
                <w:szCs w:val="24"/>
              </w:rPr>
            </w:pPr>
            <w:r w:rsidRPr="00CB6342">
              <w:rPr>
                <w:b w:val="0"/>
                <w:szCs w:val="24"/>
              </w:rPr>
              <w:t xml:space="preserve">Kuo didesnis skirtumas (proc.) tarp vidutinio savivaldybės, kurios teritorijoje bus įgyvendinamas projektas, darbo užmokesčio ir numatomo mokėti vidutinio darbo užmokesčio tiesiogiai su investicijų projektu susijusiose naujai sukurtose darbo vietose, tuo daugiau balų bus skiriama.  </w:t>
            </w:r>
          </w:p>
          <w:p w:rsidR="00CB6342" w:rsidRPr="00CB6342" w:rsidRDefault="00CB6342" w:rsidP="00CB6342">
            <w:pPr>
              <w:rPr>
                <w:b w:val="0"/>
                <w:szCs w:val="24"/>
              </w:rPr>
            </w:pPr>
            <w:r w:rsidRPr="00CB6342">
              <w:rPr>
                <w:b w:val="0"/>
                <w:szCs w:val="24"/>
              </w:rPr>
              <w:t>5 balai suteikiami pirmiesiems 20 procentų projektų (jeigu gaunamas skaičius nėra sveikasis, apvalinama pagal aritmetines taisykles iki sveikojo skaičiaus; atitinkamai ši taisyklė taikoma ir toliau), 4 balai – kitiems 20 procentų projektų ir t. t. 1 balas suteikiamas paskutiniams 20 procentų projektų. Jeigu pirmieji projektai, pagal kuriuos numatomas vienodai didesnis tiesiogiai su investicijų projektu susijusiose naujai sukurtose darbo vietose numatomas mokėti vidutinis darbo užmokestis (proc.) už vidutinį darbo užmokestį savivaldybės teritorijoje, kurioje bus įgyvendinamas projektas,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p>
          <w:p w:rsidR="00CB6342" w:rsidRPr="00CB6342" w:rsidRDefault="00CB6342" w:rsidP="00CB6342">
            <w:pPr>
              <w:rPr>
                <w:b w:val="0"/>
                <w:szCs w:val="24"/>
              </w:rPr>
            </w:pPr>
          </w:p>
        </w:tc>
        <w:tc>
          <w:tcPr>
            <w:tcW w:w="503" w:type="pct"/>
          </w:tcPr>
          <w:p w:rsidR="00CB6342" w:rsidRPr="00CB6342" w:rsidRDefault="00CB6342" w:rsidP="00CB6342">
            <w:pPr>
              <w:rPr>
                <w:b w:val="0"/>
                <w:szCs w:val="24"/>
              </w:rPr>
            </w:pPr>
            <w:r w:rsidRPr="00CB6342">
              <w:rPr>
                <w:b w:val="0"/>
                <w:szCs w:val="24"/>
              </w:rPr>
              <w:t>15</w:t>
            </w: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r w:rsidRPr="00CB6342">
              <w:rPr>
                <w:b w:val="0"/>
                <w:szCs w:val="24"/>
              </w:rPr>
              <w:t>3</w:t>
            </w:r>
          </w:p>
        </w:tc>
      </w:tr>
      <w:tr w:rsidR="00CB6342" w:rsidRPr="00CB6342" w:rsidTr="00CB6342">
        <w:tc>
          <w:tcPr>
            <w:tcW w:w="776" w:type="pct"/>
          </w:tcPr>
          <w:p w:rsidR="00CB6342" w:rsidRPr="00CB6342" w:rsidRDefault="00CB6342" w:rsidP="00CB6342">
            <w:pPr>
              <w:rPr>
                <w:szCs w:val="24"/>
              </w:rPr>
            </w:pPr>
            <w:r w:rsidRPr="00CB6342">
              <w:rPr>
                <w:szCs w:val="24"/>
              </w:rPr>
              <w:t>4. Santykis tarp pareiškėjo privačių investicijų sumos ir prašomos finansavimo sumos (proc.) yra didesnis.</w:t>
            </w:r>
          </w:p>
        </w:tc>
        <w:tc>
          <w:tcPr>
            <w:tcW w:w="2801" w:type="pct"/>
          </w:tcPr>
          <w:p w:rsidR="00CB6342" w:rsidRPr="00CB6342" w:rsidRDefault="00CB6342" w:rsidP="00CB6342">
            <w:pPr>
              <w:rPr>
                <w:b w:val="0"/>
                <w:szCs w:val="24"/>
              </w:rPr>
            </w:pPr>
            <w:r w:rsidRPr="00CB6342">
              <w:rPr>
                <w:b w:val="0"/>
                <w:szCs w:val="24"/>
              </w:rPr>
              <w:t>Prioritetas bus teikiamas tiems projektams, kurių santykis tarp pareiškėjo privačių investicijų sumos ir prašomos finansavimo sumos (projekto vertės) bus didesnis, suteikiant balus pagal tris atskiras pareiškėjų grupes: labai mažos įmonės, mažos įmonės, vidutinės įmonės.</w:t>
            </w:r>
          </w:p>
          <w:p w:rsidR="00CB6342" w:rsidRPr="00CB6342" w:rsidRDefault="00CB6342" w:rsidP="00CB6342">
            <w:pPr>
              <w:rPr>
                <w:b w:val="0"/>
                <w:szCs w:val="24"/>
              </w:rPr>
            </w:pPr>
            <w:r w:rsidRPr="00CB6342">
              <w:rPr>
                <w:b w:val="0"/>
                <w:szCs w:val="24"/>
              </w:rPr>
              <w:t>Skaičiuojama pagal formulę:</w:t>
            </w:r>
          </w:p>
          <w:p w:rsidR="00CB6342" w:rsidRPr="00CB6342" w:rsidRDefault="00CB6342" w:rsidP="00CB6342">
            <w:pPr>
              <w:rPr>
                <w:b w:val="0"/>
                <w:szCs w:val="24"/>
              </w:rPr>
            </w:pPr>
            <w:r w:rsidRPr="00CB6342">
              <w:rPr>
                <w:b w:val="0"/>
                <w:szCs w:val="24"/>
              </w:rPr>
              <w:t xml:space="preserve">Y=(X/P) x 100 proc., kur: </w:t>
            </w:r>
          </w:p>
          <w:p w:rsidR="00CB6342" w:rsidRPr="00CB6342" w:rsidRDefault="00CB6342" w:rsidP="00CB6342">
            <w:pPr>
              <w:rPr>
                <w:b w:val="0"/>
                <w:szCs w:val="24"/>
              </w:rPr>
            </w:pPr>
            <w:r w:rsidRPr="00CB6342">
              <w:rPr>
                <w:b w:val="0"/>
                <w:szCs w:val="24"/>
              </w:rPr>
              <w:t>Y – privačių investicijų dalis į projektą (proc.);</w:t>
            </w:r>
          </w:p>
          <w:p w:rsidR="00CB6342" w:rsidRPr="00CB6342" w:rsidRDefault="00CB6342" w:rsidP="00CB6342">
            <w:pPr>
              <w:rPr>
                <w:b w:val="0"/>
                <w:szCs w:val="24"/>
              </w:rPr>
            </w:pPr>
            <w:r w:rsidRPr="00CB6342">
              <w:rPr>
                <w:b w:val="0"/>
                <w:szCs w:val="24"/>
              </w:rPr>
              <w:t>X – pareiškėjo numatomos privačios investicijos (Eur);</w:t>
            </w:r>
          </w:p>
          <w:p w:rsidR="00CB6342" w:rsidRPr="00CB6342" w:rsidRDefault="00CB6342" w:rsidP="00CB6342">
            <w:pPr>
              <w:rPr>
                <w:b w:val="0"/>
                <w:szCs w:val="24"/>
              </w:rPr>
            </w:pPr>
            <w:r w:rsidRPr="00CB6342">
              <w:rPr>
                <w:b w:val="0"/>
                <w:szCs w:val="24"/>
              </w:rPr>
              <w:t>P – prašomo finansavimo suma (Eur).</w:t>
            </w:r>
          </w:p>
          <w:p w:rsidR="00CB6342" w:rsidRPr="00CB6342" w:rsidRDefault="00CB6342" w:rsidP="00CB6342">
            <w:pPr>
              <w:rPr>
                <w:b w:val="0"/>
                <w:szCs w:val="24"/>
              </w:rPr>
            </w:pPr>
          </w:p>
          <w:p w:rsidR="00CB6342" w:rsidRPr="00CB6342" w:rsidRDefault="00CB6342" w:rsidP="00CB6342">
            <w:pPr>
              <w:rPr>
                <w:b w:val="0"/>
                <w:szCs w:val="24"/>
              </w:rPr>
            </w:pPr>
            <w:r w:rsidRPr="00CB6342">
              <w:rPr>
                <w:b w:val="0"/>
                <w:szCs w:val="24"/>
              </w:rPr>
              <w:t>Apskaičiuotas Y apvalinamas pagal aritmetines taisykles iki dviejų skaičių po kablelio.</w:t>
            </w:r>
          </w:p>
          <w:p w:rsidR="00CB6342" w:rsidRPr="00CB6342" w:rsidRDefault="00CB6342" w:rsidP="00CB6342">
            <w:pPr>
              <w:rPr>
                <w:b w:val="0"/>
                <w:szCs w:val="24"/>
              </w:rPr>
            </w:pPr>
          </w:p>
          <w:p w:rsidR="00CB6342" w:rsidRPr="00CB6342" w:rsidRDefault="00CB6342" w:rsidP="00CB6342">
            <w:pPr>
              <w:rPr>
                <w:b w:val="0"/>
                <w:i/>
                <w:szCs w:val="24"/>
              </w:rPr>
            </w:pPr>
            <w:r w:rsidRPr="00CB6342">
              <w:rPr>
                <w:b w:val="0"/>
                <w:szCs w:val="24"/>
              </w:rPr>
              <w:t>Atitinkamai kiekvienoje pareiškėjų grupėje (labai mažos įmonės, mažos įmonės, vidutinės įmonės) atskirai: 5 balai suteikiami pirmiesiems 20 procentų projektų (jeigu gaunamas skaičius nėra sveikasis, apvalinama pagal aritmetines taisykles iki dviejų skaičių po kablelio; atitinkamai ši taisyklė taikoma ir toliau), 4 balai – kitiems 20 procentų projektų ir t. t. 1 balas suteikiamas paskutiniams 20 procentų projektų. Jeigu pirmieji projektai, pagal kuriuos numatomas vienodas santykis tarp pareiškėjo privačių investicijų sumos ir prašomos finansavimo sumos,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w:t>
            </w:r>
            <w:r w:rsidRPr="00CB6342">
              <w:rPr>
                <w:b w:val="0"/>
                <w:i/>
                <w:szCs w:val="24"/>
              </w:rPr>
              <w:t xml:space="preserve"> </w:t>
            </w:r>
            <w:r w:rsidRPr="00CB6342">
              <w:rPr>
                <w:b w:val="0"/>
                <w:szCs w:val="24"/>
              </w:rPr>
              <w:t>skaičių. Tokiu atveju, jiems visiems skiriami 4 balai, o likusiems tuo pačiu principu suteikiami žemesni vertinimai</w:t>
            </w:r>
            <w:r w:rsidRPr="00CB6342">
              <w:rPr>
                <w:b w:val="0"/>
                <w:i/>
                <w:szCs w:val="24"/>
              </w:rPr>
              <w:t>.</w:t>
            </w:r>
          </w:p>
          <w:p w:rsidR="00CB6342" w:rsidRPr="00CB6342" w:rsidRDefault="00CB6342" w:rsidP="00CB6342">
            <w:pPr>
              <w:rPr>
                <w:b w:val="0"/>
                <w:szCs w:val="24"/>
              </w:rPr>
            </w:pPr>
          </w:p>
        </w:tc>
        <w:tc>
          <w:tcPr>
            <w:tcW w:w="503" w:type="pct"/>
          </w:tcPr>
          <w:p w:rsidR="00CB6342" w:rsidRPr="00CB6342" w:rsidRDefault="00CB6342" w:rsidP="00CB6342">
            <w:pPr>
              <w:rPr>
                <w:b w:val="0"/>
                <w:szCs w:val="24"/>
              </w:rPr>
            </w:pPr>
            <w:r w:rsidRPr="00CB6342">
              <w:rPr>
                <w:b w:val="0"/>
                <w:szCs w:val="24"/>
              </w:rPr>
              <w:t>15</w:t>
            </w: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r w:rsidRPr="00CB6342">
              <w:rPr>
                <w:b w:val="0"/>
                <w:szCs w:val="24"/>
              </w:rPr>
              <w:t>3</w:t>
            </w:r>
          </w:p>
        </w:tc>
      </w:tr>
      <w:tr w:rsidR="00CB6342" w:rsidRPr="00CB6342" w:rsidTr="00CB6342">
        <w:tc>
          <w:tcPr>
            <w:tcW w:w="776" w:type="pct"/>
          </w:tcPr>
          <w:p w:rsidR="00CB6342" w:rsidRPr="00CB6342" w:rsidRDefault="00CB6342" w:rsidP="00CB6342">
            <w:pPr>
              <w:rPr>
                <w:szCs w:val="24"/>
              </w:rPr>
            </w:pPr>
            <w:r w:rsidRPr="00CB6342">
              <w:rPr>
                <w:szCs w:val="24"/>
              </w:rPr>
              <w:t>5. Pareiškėjas sukurs tiesiogiai su investicijų projektu susijusias naujas darbo vietas ir išlaikys šias darbo vietas ne mažiau kaip 3 metus po projekto įgyvendinimo.</w:t>
            </w:r>
          </w:p>
        </w:tc>
        <w:tc>
          <w:tcPr>
            <w:tcW w:w="2801" w:type="pct"/>
          </w:tcPr>
          <w:p w:rsidR="00CB6342" w:rsidRPr="00CB6342" w:rsidRDefault="00CB6342" w:rsidP="00CB6342">
            <w:pPr>
              <w:rPr>
                <w:b w:val="0"/>
                <w:szCs w:val="24"/>
              </w:rPr>
            </w:pPr>
            <w:r w:rsidRPr="00CB6342">
              <w:rPr>
                <w:b w:val="0"/>
                <w:szCs w:val="24"/>
              </w:rPr>
              <w:t>Prioritetas bus teikiamas tiems projektams, kuriuose pareiškėjas sukurs daugiau tiesiogiai su investicijų projektu susijusių naujų darbo vietų ir išlaikys šias darbo vietas ne mažiau kaip 3 metus po projekto įgyvendinimo.</w:t>
            </w:r>
          </w:p>
          <w:p w:rsidR="00CB6342" w:rsidRPr="00CB6342" w:rsidRDefault="00CB6342" w:rsidP="00CB6342">
            <w:pPr>
              <w:rPr>
                <w:b w:val="0"/>
                <w:szCs w:val="24"/>
              </w:rPr>
            </w:pPr>
            <w:r w:rsidRPr="00CB6342">
              <w:rPr>
                <w:b w:val="0"/>
                <w:szCs w:val="24"/>
              </w:rPr>
              <w:t>5 balai suteikiami pirmiesiems 20 procentų projektų (jeigu gaunamas skaičius nėra sveikasis, apvalinama pagal aritmetines taisykles iki sveikojo skaičiaus; atitinkamai ši taisyklė taikoma ir toliau), 4 balai – kitiems 20 procentų projektų ir t. t. 1 balas suteikiamas paskutiniams 20 procentų projektų. Jeigu pirmieji projektai, pagal kuriuos numatoma sukurti vienodą naujų darbo vietų skaičių,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p>
          <w:p w:rsidR="00CB6342" w:rsidRPr="00CB6342" w:rsidRDefault="00CB6342" w:rsidP="00CB6342">
            <w:pPr>
              <w:rPr>
                <w:b w:val="0"/>
                <w:szCs w:val="24"/>
              </w:rPr>
            </w:pPr>
          </w:p>
        </w:tc>
        <w:tc>
          <w:tcPr>
            <w:tcW w:w="503" w:type="pct"/>
          </w:tcPr>
          <w:p w:rsidR="00CB6342" w:rsidRPr="00CB6342" w:rsidRDefault="00CB6342" w:rsidP="00CB6342">
            <w:pPr>
              <w:rPr>
                <w:b w:val="0"/>
                <w:szCs w:val="24"/>
              </w:rPr>
            </w:pPr>
            <w:r w:rsidRPr="00CB6342">
              <w:rPr>
                <w:b w:val="0"/>
                <w:szCs w:val="24"/>
              </w:rPr>
              <w:t>15</w:t>
            </w: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r w:rsidRPr="00CB6342">
              <w:rPr>
                <w:b w:val="0"/>
                <w:szCs w:val="24"/>
              </w:rPr>
              <w:t>3</w:t>
            </w:r>
          </w:p>
        </w:tc>
      </w:tr>
      <w:tr w:rsidR="00CB6342" w:rsidRPr="00CB6342" w:rsidTr="00CB6342">
        <w:tc>
          <w:tcPr>
            <w:tcW w:w="776" w:type="pct"/>
          </w:tcPr>
          <w:p w:rsidR="00CB6342" w:rsidRPr="00CB6342" w:rsidRDefault="00CB6342" w:rsidP="00CB6342">
            <w:pPr>
              <w:rPr>
                <w:szCs w:val="24"/>
              </w:rPr>
            </w:pPr>
            <w:r w:rsidRPr="00CB6342">
              <w:rPr>
                <w:szCs w:val="24"/>
              </w:rPr>
              <w:t>6. Projektą numatoma įgyvendinti apskrityse, kuriose, remiantis Lietuvos statistikos departamento oficialiosios statistikos internetine svetaine, yra didesnis nedarbo lygis.</w:t>
            </w:r>
          </w:p>
        </w:tc>
        <w:tc>
          <w:tcPr>
            <w:tcW w:w="2801" w:type="pct"/>
          </w:tcPr>
          <w:p w:rsidR="00CB6342" w:rsidRPr="00CB6342" w:rsidRDefault="00CB6342" w:rsidP="00CB6342">
            <w:pPr>
              <w:rPr>
                <w:b w:val="0"/>
                <w:szCs w:val="24"/>
              </w:rPr>
            </w:pPr>
            <w:r w:rsidRPr="00CB6342">
              <w:rPr>
                <w:b w:val="0"/>
                <w:szCs w:val="24"/>
              </w:rPr>
              <w:t>Prioritetas teikiamas tiems projektams, kurie bus įgyvendinami apskrityse, kuriose, remiantis Lietuvos statistikos departamento oficialiosios statistikos internetine svetaine</w:t>
            </w:r>
          </w:p>
          <w:p w:rsidR="00CB6342" w:rsidRPr="00CB6342" w:rsidRDefault="00CB6342" w:rsidP="00CB6342">
            <w:pPr>
              <w:rPr>
                <w:b w:val="0"/>
                <w:szCs w:val="24"/>
              </w:rPr>
            </w:pPr>
            <w:r w:rsidRPr="00CB6342">
              <w:rPr>
                <w:b w:val="0"/>
                <w:szCs w:val="24"/>
              </w:rPr>
              <w:t>http://osp.stat.gov.lt/web/guest/statistiniu-rodikliu-analize?portletFormName=visualization&amp;hash=70e1de4f-fb99-42aa-b817-ce9bbc8ef1ea, yra didesnis nedarbo lygis.</w:t>
            </w:r>
          </w:p>
          <w:p w:rsidR="00CB6342" w:rsidRPr="00CB6342" w:rsidRDefault="00CB6342" w:rsidP="00CB6342">
            <w:pPr>
              <w:rPr>
                <w:b w:val="0"/>
                <w:szCs w:val="24"/>
              </w:rPr>
            </w:pPr>
            <w:r w:rsidRPr="00CB6342">
              <w:rPr>
                <w:b w:val="0"/>
                <w:szCs w:val="24"/>
              </w:rPr>
              <w:t>5 balai suteikiami pirmiesiems 20 procentų projektų (jeigu gaunamas skaičius nėra sveikasis, apvalinama pagal aritmetines taisykles iki sveikojo skaičiaus; atitinkamai ši taisyklė taikoma ir toliau), 4 balai – kitiems 20 procentų projektų ir t. t. 1 balas suteikiamas paskutiniams 20 procentų projektų. Jeigu pirmieji projektai, kurie įgyvendinami vienodą nedarbo lygį turinčiose apskrityse,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p>
          <w:p w:rsidR="00CB6342" w:rsidRPr="00CB6342" w:rsidRDefault="00CB6342" w:rsidP="00CB6342">
            <w:pPr>
              <w:rPr>
                <w:b w:val="0"/>
                <w:szCs w:val="24"/>
              </w:rPr>
            </w:pPr>
          </w:p>
        </w:tc>
        <w:tc>
          <w:tcPr>
            <w:tcW w:w="503" w:type="pct"/>
          </w:tcPr>
          <w:p w:rsidR="00CB6342" w:rsidRPr="00CB6342" w:rsidRDefault="00CB6342" w:rsidP="00CB6342">
            <w:pPr>
              <w:rPr>
                <w:b w:val="0"/>
                <w:szCs w:val="24"/>
              </w:rPr>
            </w:pPr>
            <w:r w:rsidRPr="00CB6342">
              <w:rPr>
                <w:b w:val="0"/>
                <w:szCs w:val="24"/>
              </w:rPr>
              <w:t>5</w:t>
            </w: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r w:rsidRPr="00CB6342">
              <w:rPr>
                <w:b w:val="0"/>
                <w:szCs w:val="24"/>
              </w:rPr>
              <w:t>1</w:t>
            </w:r>
          </w:p>
        </w:tc>
      </w:tr>
      <w:tr w:rsidR="00CB6342" w:rsidRPr="00CB6342" w:rsidTr="00CB6342">
        <w:tc>
          <w:tcPr>
            <w:tcW w:w="776" w:type="pct"/>
          </w:tcPr>
          <w:p w:rsidR="00CB6342" w:rsidRPr="00CB6342" w:rsidRDefault="00CB6342" w:rsidP="00CB6342">
            <w:pPr>
              <w:rPr>
                <w:szCs w:val="24"/>
              </w:rPr>
            </w:pPr>
            <w:r w:rsidRPr="00CB6342">
              <w:rPr>
                <w:szCs w:val="24"/>
              </w:rPr>
              <w:t>7. Projektas prisideda prie konkrečios Integruotų teritorijų vystymo programos (toliau – ITVP) tikslų ir uždavinių įgyvendinimo.</w:t>
            </w:r>
          </w:p>
        </w:tc>
        <w:tc>
          <w:tcPr>
            <w:tcW w:w="2801" w:type="pct"/>
          </w:tcPr>
          <w:p w:rsidR="00CB6342" w:rsidRPr="00CB6342" w:rsidRDefault="00CB6342" w:rsidP="00CB6342">
            <w:pPr>
              <w:rPr>
                <w:b w:val="0"/>
                <w:szCs w:val="24"/>
              </w:rPr>
            </w:pPr>
            <w:r w:rsidRPr="00CB6342">
              <w:rPr>
                <w:b w:val="0"/>
                <w:szCs w:val="24"/>
              </w:rPr>
              <w:t>Prioritetas bus teikiamas projektams, kurie prisidės prie konkrečios ITVP tikslų ir uždavinių įgyvendinimo. Bus vertinama, ar projektas yra įgyvendinamas tikslinėje teritorijoje arba su tiksline teritorija susietoje teritorijoje ir prisideda prie bent vieno konkrečioje ITVP nustatyto rezultato rodiklio pasiekimo.</w:t>
            </w:r>
          </w:p>
          <w:p w:rsidR="00CB6342" w:rsidRPr="00CB6342" w:rsidRDefault="00CB6342" w:rsidP="00CB6342">
            <w:pPr>
              <w:rPr>
                <w:b w:val="0"/>
                <w:szCs w:val="24"/>
              </w:rPr>
            </w:pPr>
            <w:r w:rsidRPr="00CB6342">
              <w:rPr>
                <w:b w:val="0"/>
                <w:szCs w:val="24"/>
              </w:rPr>
              <w:t>Projektams, yra įgyvendinami tikslinėje teritorijoje arba su tiksline teritorija susietoje teritorijoje ir prisideda prie bent vieno konkrečioje ITVP nustatyto rezultato rodiklio pasiekimo, bus suteikiami 5 balai, jei nėra įgyvendinami tikslinėje teritorijoje arba su tiksline teritorija susietoje teritorijoje ir neprisideda prie bent vieno konkrečioje ITVP nustatyto rezultato rodiklio pasiekimo, bus suteikiama 0 balų.</w:t>
            </w:r>
          </w:p>
        </w:tc>
        <w:tc>
          <w:tcPr>
            <w:tcW w:w="503" w:type="pct"/>
          </w:tcPr>
          <w:p w:rsidR="00CB6342" w:rsidRPr="00CB6342" w:rsidRDefault="00CB6342" w:rsidP="00CB6342">
            <w:pPr>
              <w:rPr>
                <w:b w:val="0"/>
                <w:szCs w:val="24"/>
              </w:rPr>
            </w:pPr>
            <w:r w:rsidRPr="00CB6342">
              <w:rPr>
                <w:b w:val="0"/>
                <w:szCs w:val="24"/>
              </w:rPr>
              <w:t>5</w:t>
            </w: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r w:rsidRPr="00CB6342">
              <w:rPr>
                <w:b w:val="0"/>
                <w:szCs w:val="24"/>
              </w:rPr>
              <w:t>1</w:t>
            </w:r>
          </w:p>
        </w:tc>
      </w:tr>
      <w:tr w:rsidR="00CB6342" w:rsidRPr="00CB6342" w:rsidTr="00CB6342">
        <w:trPr>
          <w:trHeight w:val="991"/>
        </w:trPr>
        <w:tc>
          <w:tcPr>
            <w:tcW w:w="3577" w:type="pct"/>
            <w:gridSpan w:val="2"/>
          </w:tcPr>
          <w:p w:rsidR="00CB6342" w:rsidRPr="00CB6342" w:rsidRDefault="00CB6342" w:rsidP="00CB6342">
            <w:pPr>
              <w:rPr>
                <w:szCs w:val="24"/>
              </w:rPr>
            </w:pPr>
            <w:r w:rsidRPr="00CB6342">
              <w:rPr>
                <w:szCs w:val="24"/>
              </w:rPr>
              <w:t>Suma:</w:t>
            </w:r>
          </w:p>
        </w:tc>
        <w:tc>
          <w:tcPr>
            <w:tcW w:w="503" w:type="pct"/>
          </w:tcPr>
          <w:p w:rsidR="00CB6342" w:rsidRPr="00CB6342" w:rsidRDefault="00CB6342" w:rsidP="00CB6342">
            <w:pPr>
              <w:rPr>
                <w:b w:val="0"/>
                <w:szCs w:val="24"/>
              </w:rPr>
            </w:pPr>
            <w:r w:rsidRPr="00CB6342">
              <w:rPr>
                <w:b w:val="0"/>
                <w:szCs w:val="24"/>
              </w:rPr>
              <w:t>100</w:t>
            </w: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p>
        </w:tc>
      </w:tr>
      <w:tr w:rsidR="00CB6342" w:rsidRPr="00CB6342" w:rsidTr="00CB6342">
        <w:tc>
          <w:tcPr>
            <w:tcW w:w="3577" w:type="pct"/>
            <w:gridSpan w:val="2"/>
          </w:tcPr>
          <w:p w:rsidR="00CB6342" w:rsidRPr="00CB6342" w:rsidRDefault="00CB6342" w:rsidP="00CB6342">
            <w:pPr>
              <w:rPr>
                <w:szCs w:val="24"/>
              </w:rPr>
            </w:pPr>
            <w:r w:rsidRPr="00CB6342">
              <w:rPr>
                <w:szCs w:val="24"/>
              </w:rPr>
              <w:t>Minimali privaloma surinkti balų suma:</w:t>
            </w:r>
          </w:p>
        </w:tc>
        <w:tc>
          <w:tcPr>
            <w:tcW w:w="503" w:type="pct"/>
          </w:tcPr>
          <w:p w:rsidR="00CB6342" w:rsidRPr="00CB6342" w:rsidRDefault="00CB6342" w:rsidP="00CB6342">
            <w:pPr>
              <w:rPr>
                <w:b w:val="0"/>
                <w:szCs w:val="24"/>
              </w:rPr>
            </w:pPr>
            <w:r w:rsidRPr="00CB6342">
              <w:rPr>
                <w:b w:val="0"/>
                <w:szCs w:val="24"/>
              </w:rPr>
              <w:t>40</w:t>
            </w:r>
          </w:p>
        </w:tc>
        <w:tc>
          <w:tcPr>
            <w:tcW w:w="389" w:type="pct"/>
          </w:tcPr>
          <w:p w:rsidR="00CB6342" w:rsidRPr="00CB6342" w:rsidRDefault="00CB6342" w:rsidP="00CB6342">
            <w:pPr>
              <w:rPr>
                <w:b w:val="0"/>
                <w:szCs w:val="24"/>
              </w:rPr>
            </w:pPr>
          </w:p>
        </w:tc>
        <w:tc>
          <w:tcPr>
            <w:tcW w:w="530" w:type="pct"/>
          </w:tcPr>
          <w:p w:rsidR="00CB6342" w:rsidRPr="00CB6342" w:rsidRDefault="00CB6342" w:rsidP="00CB6342">
            <w:pPr>
              <w:rPr>
                <w:b w:val="0"/>
                <w:szCs w:val="24"/>
              </w:rPr>
            </w:pPr>
          </w:p>
        </w:tc>
      </w:tr>
    </w:tbl>
    <w:p w:rsidR="0060473D" w:rsidRDefault="0060473D"/>
    <w:sectPr w:rsidR="0060473D" w:rsidSect="00CB6342">
      <w:pgSz w:w="16838" w:h="11906" w:orient="landscape"/>
      <w:pgMar w:top="1701" w:right="1134"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B233C"/>
    <w:multiLevelType w:val="hybridMultilevel"/>
    <w:tmpl w:val="6804C690"/>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B856D78"/>
    <w:multiLevelType w:val="hybridMultilevel"/>
    <w:tmpl w:val="4736622E"/>
    <w:lvl w:ilvl="0" w:tplc="3F22599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241"/>
  <w:displayVerticalDrawingGridEvery w:val="2"/>
  <w:characterSpacingControl w:val="doNotCompress"/>
  <w:savePreviewPicture/>
  <w:compat/>
  <w:rsids>
    <w:rsidRoot w:val="00CB6342"/>
    <w:rsid w:val="00151BE3"/>
    <w:rsid w:val="001616BD"/>
    <w:rsid w:val="0060473D"/>
    <w:rsid w:val="006B1371"/>
    <w:rsid w:val="00823F76"/>
    <w:rsid w:val="00A005FE"/>
    <w:rsid w:val="00B77201"/>
    <w:rsid w:val="00CB6342"/>
    <w:rsid w:val="00D3314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3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3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6646</Words>
  <Characters>3789</Characters>
  <Application>Microsoft Office Word</Application>
  <DocSecurity>0</DocSecurity>
  <Lines>31</Lines>
  <Paragraphs>20</Paragraphs>
  <ScaleCrop>false</ScaleCrop>
  <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2016-11-16T08:31:00Z</dcterms:created>
  <dcterms:modified xsi:type="dcterms:W3CDTF">2016-11-16T08:33:00Z</dcterms:modified>
</cp:coreProperties>
</file>